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Telki Község Képviselő-testülete</w:t>
      </w: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2017. március 21-én megtartott rendkívüli ülésének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3148">
        <w:rPr>
          <w:rFonts w:ascii="Times New Roman" w:hAnsi="Times New Roman"/>
          <w:b/>
        </w:rPr>
        <w:t>jegyzőkönyvéből</w:t>
      </w:r>
      <w:r w:rsidRPr="00FC3148">
        <w:rPr>
          <w:rFonts w:ascii="Times New Roman" w:hAnsi="Times New Roman"/>
          <w:b/>
          <w:bCs/>
        </w:rPr>
        <w:t xml:space="preserve"> 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148" w:rsidRPr="00FC3148" w:rsidRDefault="00FC3148" w:rsidP="00FC3148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D05EB1" w:rsidRPr="00D05EB1" w:rsidRDefault="00FC3148" w:rsidP="00D05EB1">
      <w:pPr>
        <w:tabs>
          <w:tab w:val="center" w:pos="1800"/>
          <w:tab w:val="center" w:pos="7560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FC3148">
        <w:rPr>
          <w:rFonts w:ascii="Times New Roman" w:hAnsi="Times New Roman"/>
          <w:b/>
        </w:rPr>
        <w:t xml:space="preserve">Telki község Önkormányzat </w:t>
      </w:r>
      <w:bookmarkStart w:id="0" w:name="_GoBack"/>
      <w:bookmarkEnd w:id="0"/>
      <w:r w:rsidRPr="00FC3148">
        <w:rPr>
          <w:rFonts w:ascii="Times New Roman" w:hAnsi="Times New Roman"/>
          <w:b/>
        </w:rPr>
        <w:t>Képviselő-testülete</w:t>
      </w:r>
      <w:r w:rsidRPr="00FC3148">
        <w:rPr>
          <w:rFonts w:ascii="Times New Roman" w:hAnsi="Times New Roman"/>
          <w:b/>
        </w:rPr>
        <w:br/>
      </w:r>
      <w:r w:rsidR="00D05EB1" w:rsidRPr="00D05EB1">
        <w:rPr>
          <w:rFonts w:ascii="Times New Roman" w:eastAsiaTheme="minorHAnsi" w:hAnsi="Times New Roman"/>
          <w:b/>
          <w:lang w:eastAsia="en-US"/>
        </w:rPr>
        <w:t>29 /2017. (III. 21.) Önkormányzati határozat</w:t>
      </w:r>
    </w:p>
    <w:p w:rsidR="00D05EB1" w:rsidRPr="00D05EB1" w:rsidRDefault="00D05EB1" w:rsidP="00D05EB1">
      <w:pPr>
        <w:spacing w:after="160" w:line="259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05EB1">
        <w:rPr>
          <w:rFonts w:ascii="Times New Roman" w:eastAsiaTheme="minorHAnsi" w:hAnsi="Times New Roman"/>
          <w:b/>
          <w:lang w:eastAsia="en-US"/>
        </w:rPr>
        <w:t>Telki Község Önkormányzata kormányzati funkcióinak felülvizsgálata</w:t>
      </w:r>
    </w:p>
    <w:p w:rsidR="00D05EB1" w:rsidRPr="00D05EB1" w:rsidRDefault="00D05EB1" w:rsidP="00D05EB1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bookmarkStart w:id="1" w:name="_Hlk478630961"/>
      <w:r w:rsidRPr="00D05EB1">
        <w:rPr>
          <w:rFonts w:ascii="Times New Roman" w:eastAsiaTheme="minorHAnsi" w:hAnsi="Times New Roman"/>
          <w:lang w:eastAsia="en-US"/>
        </w:rPr>
        <w:t xml:space="preserve">Telki Község Önkormányzat Képviselő-testülete úgy határoz, hogy a Telki község Önkormányzata Magyar Államkincstár által vezetett törzskönyvi nyilvántartásába az alábbi kormányzati funkciók beemelendők: </w:t>
      </w:r>
    </w:p>
    <w:p w:rsidR="00D05EB1" w:rsidRPr="00D05EB1" w:rsidRDefault="00D05EB1" w:rsidP="00D05EB1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D05EB1">
        <w:rPr>
          <w:rFonts w:ascii="Times New Roman" w:eastAsiaTheme="minorHAnsi" w:hAnsi="Times New Roman"/>
          <w:lang w:eastAsia="en-US"/>
        </w:rPr>
        <w:t xml:space="preserve">Beemelendő, új kormányzati funkció: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29"/>
        <w:gridCol w:w="5910"/>
      </w:tblGrid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kormányzati funkciószám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kormányzati funkció megnevezése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013350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Az önkormányzati vagyonnal való gazdálkodással kapcsolatos feladatok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031030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Közterület rendjének fenntartása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041231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 xml:space="preserve">               Rövid időtartamú közfoglalkoztatás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041233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Hosszabb időtartamú közfoglalkoztatás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041236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Országos közfoglalkoztatási program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045120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 xml:space="preserve">Út, </w:t>
            </w:r>
            <w:r w:rsidRPr="00D05EB1">
              <w:rPr>
                <w:rFonts w:ascii="Times New Roman" w:eastAsiaTheme="minorHAnsi" w:hAnsi="Times New Roman"/>
                <w:i/>
                <w:lang w:eastAsia="en-US"/>
              </w:rPr>
              <w:t>autópálya</w:t>
            </w:r>
            <w:r w:rsidRPr="00D05EB1">
              <w:rPr>
                <w:rFonts w:ascii="Times New Roman" w:eastAsiaTheme="minorHAnsi" w:hAnsi="Times New Roman"/>
                <w:lang w:eastAsia="en-US"/>
              </w:rPr>
              <w:t xml:space="preserve"> építése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047120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Piac üzemeltetése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047320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Turizmusfejlesztési támogatások és tevékenységek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052080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Szennyvízcsatorna építése, fenntartása, üzemeltetése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063020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D05EB1">
              <w:rPr>
                <w:rFonts w:ascii="Times New Roman" w:eastAsiaTheme="minorHAnsi" w:hAnsi="Times New Roman"/>
                <w:lang w:eastAsia="en-US"/>
              </w:rPr>
              <w:t>Víztermelés,-</w:t>
            </w:r>
            <w:proofErr w:type="gramEnd"/>
            <w:r w:rsidRPr="00D05EB1">
              <w:rPr>
                <w:rFonts w:ascii="Times New Roman" w:eastAsiaTheme="minorHAnsi" w:hAnsi="Times New Roman"/>
                <w:lang w:eastAsia="en-US"/>
              </w:rPr>
              <w:t xml:space="preserve"> kezelés, - ellátás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072312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Fogorvosi ügyeleti ellátás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074031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Család és nővédelmi egészségügyi gondozás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076062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Település-egészségügyi feladatok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081030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Sportlétesítmények</w:t>
            </w:r>
            <w:r w:rsidRPr="00D05EB1">
              <w:rPr>
                <w:rFonts w:ascii="Times New Roman" w:eastAsiaTheme="minorHAnsi" w:hAnsi="Times New Roman"/>
                <w:i/>
                <w:lang w:eastAsia="en-US"/>
              </w:rPr>
              <w:t>, edzőtáborok</w:t>
            </w:r>
            <w:r w:rsidRPr="00D05EB1">
              <w:rPr>
                <w:rFonts w:ascii="Times New Roman" w:eastAsiaTheme="minorHAnsi" w:hAnsi="Times New Roman"/>
                <w:lang w:eastAsia="en-US"/>
              </w:rPr>
              <w:t xml:space="preserve"> működtetése és fejlesztése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082092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Közművelődés-hagyományos közösségi kulturális értékek gondozása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083030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Egyéb kiadói tevékenység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104042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spacing w:after="160"/>
              <w:ind w:left="720" w:firstLine="34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Család és gyermekjóléti szolgáltatások</w:t>
            </w:r>
          </w:p>
        </w:tc>
      </w:tr>
      <w:tr w:rsidR="00D05EB1" w:rsidRPr="00D05EB1" w:rsidTr="00B53D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1" w:rsidRPr="00D05EB1" w:rsidRDefault="00D05EB1" w:rsidP="00D05EB1">
            <w:pPr>
              <w:numPr>
                <w:ilvl w:val="0"/>
                <w:numId w:val="2"/>
              </w:numPr>
              <w:tabs>
                <w:tab w:val="left" w:leader="dot" w:pos="9072"/>
                <w:tab w:val="left" w:leader="dot" w:pos="16443"/>
              </w:tabs>
              <w:spacing w:before="80" w:after="0" w:line="259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tabs>
                <w:tab w:val="left" w:leader="dot" w:pos="9072"/>
                <w:tab w:val="left" w:leader="dot" w:pos="16443"/>
              </w:tabs>
              <w:spacing w:before="80" w:after="160"/>
              <w:ind w:left="72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106020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B1" w:rsidRPr="00D05EB1" w:rsidRDefault="00D05EB1" w:rsidP="00D05EB1">
            <w:pPr>
              <w:spacing w:after="160"/>
              <w:ind w:left="720" w:firstLine="34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05EB1">
              <w:rPr>
                <w:rFonts w:ascii="Times New Roman" w:eastAsiaTheme="minorHAnsi" w:hAnsi="Times New Roman"/>
                <w:lang w:eastAsia="en-US"/>
              </w:rPr>
              <w:t>Lakásfenntartással, lakhatással összefüggő ellátások</w:t>
            </w:r>
          </w:p>
        </w:tc>
      </w:tr>
    </w:tbl>
    <w:p w:rsidR="00D05EB1" w:rsidRPr="00D05EB1" w:rsidRDefault="00D05EB1" w:rsidP="00D05EB1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</w:p>
    <w:p w:rsidR="00D05EB1" w:rsidRPr="00D05EB1" w:rsidRDefault="00D05EB1" w:rsidP="00D05EB1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D05EB1">
        <w:rPr>
          <w:rFonts w:ascii="Times New Roman" w:eastAsiaTheme="minorHAnsi" w:hAnsi="Times New Roman"/>
          <w:lang w:eastAsia="en-US"/>
        </w:rPr>
        <w:t>A képviselő-testület felkéri a Polgármestert és a Jegyzőt a kormányzati funkció változások törzskönyvi nyilvántartáson történő átvezetésének kezdeményezésére.</w:t>
      </w:r>
    </w:p>
    <w:p w:rsidR="00D05EB1" w:rsidRPr="00D05EB1" w:rsidRDefault="00D05EB1" w:rsidP="00D05EB1">
      <w:pPr>
        <w:spacing w:after="0" w:line="259" w:lineRule="auto"/>
        <w:jc w:val="both"/>
        <w:rPr>
          <w:rFonts w:ascii="Times New Roman" w:eastAsiaTheme="minorHAnsi" w:hAnsi="Times New Roman"/>
          <w:lang w:eastAsia="en-US"/>
        </w:rPr>
      </w:pPr>
      <w:r w:rsidRPr="00D05EB1">
        <w:rPr>
          <w:rFonts w:ascii="Times New Roman" w:eastAsiaTheme="minorHAnsi" w:hAnsi="Times New Roman"/>
          <w:lang w:eastAsia="en-US"/>
        </w:rPr>
        <w:t>Felelős: Polgármester, jegyző</w:t>
      </w:r>
    </w:p>
    <w:p w:rsidR="00D05EB1" w:rsidRPr="00D05EB1" w:rsidRDefault="00D05EB1" w:rsidP="00D05EB1">
      <w:pPr>
        <w:spacing w:after="0" w:line="259" w:lineRule="auto"/>
        <w:jc w:val="both"/>
        <w:rPr>
          <w:rFonts w:ascii="Times New Roman" w:eastAsiaTheme="minorHAnsi" w:hAnsi="Times New Roman"/>
          <w:lang w:eastAsia="en-US"/>
        </w:rPr>
      </w:pPr>
      <w:r w:rsidRPr="00D05EB1">
        <w:rPr>
          <w:rFonts w:ascii="Times New Roman" w:eastAsiaTheme="minorHAnsi" w:hAnsi="Times New Roman"/>
          <w:lang w:eastAsia="en-US"/>
        </w:rPr>
        <w:t>Határidő: azonnal</w:t>
      </w:r>
    </w:p>
    <w:bookmarkEnd w:id="1"/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Deltai Károly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dr. Lack Mónika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>Polgármester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              </w:t>
      </w:r>
      <w:r w:rsidRPr="00AE3466">
        <w:rPr>
          <w:rFonts w:ascii="Times New Roman" w:hAnsi="Times New Roman"/>
        </w:rPr>
        <w:tab/>
        <w:t>jegyző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A kiadmány </w:t>
      </w:r>
      <w:proofErr w:type="spellStart"/>
      <w:r w:rsidRPr="00AE3466">
        <w:rPr>
          <w:rFonts w:ascii="Times New Roman" w:hAnsi="Times New Roman"/>
        </w:rPr>
        <w:t>hiteléül</w:t>
      </w:r>
      <w:proofErr w:type="spellEnd"/>
      <w:r w:rsidRPr="00AE3466">
        <w:rPr>
          <w:rFonts w:ascii="Times New Roman" w:hAnsi="Times New Roman"/>
        </w:rPr>
        <w:t>: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Vinczéné dr. Joó Györgyi</w:t>
      </w:r>
    </w:p>
    <w:p w:rsidR="00BD6330" w:rsidRDefault="00FC3148" w:rsidP="00FC3148">
      <w:pPr>
        <w:spacing w:after="0"/>
      </w:pPr>
      <w:r>
        <w:rPr>
          <w:rFonts w:ascii="Times New Roman" w:hAnsi="Times New Roman"/>
        </w:rPr>
        <w:t>igazgatás</w:t>
      </w:r>
      <w:r w:rsidRPr="00AE3466">
        <w:rPr>
          <w:rFonts w:ascii="Times New Roman" w:hAnsi="Times New Roman"/>
        </w:rPr>
        <w:t>i előadó</w:t>
      </w:r>
    </w:p>
    <w:sectPr w:rsidR="00BD6330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A3083A"/>
    <w:rsid w:val="00BD6330"/>
    <w:rsid w:val="00D05EB1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2017-03-30T07:51:00Z</cp:lastPrinted>
  <dcterms:created xsi:type="dcterms:W3CDTF">2017-05-19T11:48:00Z</dcterms:created>
  <dcterms:modified xsi:type="dcterms:W3CDTF">2017-05-19T11:48:00Z</dcterms:modified>
</cp:coreProperties>
</file>